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2B" w:rsidRDefault="0038542B" w:rsidP="005B7A13">
      <w:pPr>
        <w:spacing w:after="0" w:line="240" w:lineRule="auto"/>
        <w:jc w:val="center"/>
      </w:pP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>Приложение 1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к постановлению 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Администрации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Отрадовского сельского</w:t>
      </w:r>
    </w:p>
    <w:p w:rsidR="00ED490C" w:rsidRPr="0009040D" w:rsidRDefault="0009040D" w:rsidP="00090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3163">
        <w:rPr>
          <w:rFonts w:ascii="Times New Roman" w:hAnsi="Times New Roman" w:cs="Times New Roman"/>
          <w:sz w:val="28"/>
          <w:szCs w:val="28"/>
        </w:rPr>
        <w:t>т ________ № ___</w:t>
      </w:r>
    </w:p>
    <w:p w:rsidR="00ED490C" w:rsidRDefault="00ED490C" w:rsidP="005B7A13">
      <w:pPr>
        <w:spacing w:after="0" w:line="240" w:lineRule="auto"/>
        <w:jc w:val="center"/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ПОРЯДОК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:rsidR="0009040D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муниципальных услуг муниципального образования 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09040D" w:rsidRDefault="00ED490C" w:rsidP="0009040D">
      <w:pPr>
        <w:pStyle w:val="a8"/>
        <w:widowControl w:val="0"/>
        <w:numPr>
          <w:ilvl w:val="0"/>
          <w:numId w:val="5"/>
        </w:numPr>
        <w:jc w:val="center"/>
        <w:rPr>
          <w:sz w:val="28"/>
          <w:szCs w:val="28"/>
        </w:rPr>
      </w:pPr>
      <w:r w:rsidRPr="00ED490C">
        <w:rPr>
          <w:sz w:val="28"/>
          <w:szCs w:val="28"/>
        </w:rPr>
        <w:t>Общие положения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1.Порядок формирования и ведения реестра муниципальных услуг муниципального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 24.10.2011 № 861 «О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при предоставлении ими муниципальных услуг.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2. Реестр муниципальных услуг муниципального 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 соответственно – Реестр, муниципальная услуга) содержит сведения: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муниципальных услуг 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организациями</w:t>
      </w:r>
      <w:r w:rsidRPr="00ED490C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муниципальных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4) о перечне муниципальных услуг, предоставление которых осуществляется в </w:t>
      </w:r>
      <w:hyperlink r:id="rId6" w:history="1"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</w:t>
        </w:r>
        <w:r w:rsidR="00D73F6F"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район»</w:t>
        </w:r>
      </w:hyperlink>
      <w:r w:rsidRPr="0009040D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3. Формирование и ведение Реестра осуществляется на бумажном носителе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4. 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>. Формирование и ведение Реестра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5. Формирование и ведение Реестра обеспечивает </w:t>
      </w:r>
      <w:proofErr w:type="gram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proofErr w:type="gramEnd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Отрадовского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6. Реестр утверждается постановлением Администрации Отрадовского </w:t>
      </w:r>
      <w:r w:rsidR="00D73F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7. Размещение и изменение сведений об услугах в Реестре</w:t>
      </w:r>
      <w:bookmarkStart w:id="0" w:name="Par2"/>
      <w:bookmarkEnd w:id="0"/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услугах, указанных в пункте 2  настоящего Порядка, формируются по форме согласно приложению к настоящему Порядку и направляются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отношениям, </w:t>
      </w:r>
      <w:r w:rsidR="00D73F6F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Отрадовского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87876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«Дело» (далее - СЭД «Дело»)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услуги, для их включения в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73F6F">
        <w:rPr>
          <w:rFonts w:ascii="Times New Roman" w:hAnsi="Times New Roman" w:cs="Times New Roman"/>
          <w:sz w:val="28"/>
          <w:szCs w:val="28"/>
        </w:rPr>
        <w:t>главному специалисту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указанные в подпункте 1 настоящего пункта сведения для внесения соответствующих изменений в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3)  </w:t>
      </w:r>
      <w:r w:rsidR="00D73F6F">
        <w:rPr>
          <w:rFonts w:ascii="Times New Roman" w:hAnsi="Times New Roman" w:cs="Times New Roman"/>
          <w:sz w:val="28"/>
          <w:szCs w:val="28"/>
        </w:rPr>
        <w:t>главный специалист Администрации Отрадовского сельского поселения</w:t>
      </w:r>
      <w:r w:rsidR="00D73F6F"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течение 3 рабочих дней после получения указанных в подпунктах 1-2 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 правовым актам, настоящему Порядку;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4) 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 по СЭД «Дело» представившему ненадлежащие сведения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специалисту по земельным и имущественным отношениям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уведомление об их устранении.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Устранение нарушений и повторное представление сведений о муниципальных услугах осуществляется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</w:t>
      </w:r>
      <w:proofErr w:type="spell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отношеням</w:t>
      </w:r>
      <w:proofErr w:type="spellEnd"/>
      <w:r w:rsidRPr="00D44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представившим ненадлежащие сведения, в течение 3 рабочих дней с даты получения уведомления;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5) если по результатам проведенной проверки нарушений, указанных в подпункте 4 настоящего пункта, не выявлено,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Отрадовского сельского поселения 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Отрадовского </w:t>
      </w:r>
      <w:r w:rsidR="00D449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сведений об услугах в Реестре.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8. Исключение сведений о муниципальных услугах из Реестра 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</w:t>
      </w:r>
      <w:r w:rsidR="00D4496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ED490C">
        <w:rPr>
          <w:rFonts w:ascii="Times New Roman" w:hAnsi="Times New Roman" w:cs="Times New Roman"/>
          <w:sz w:val="28"/>
          <w:szCs w:val="28"/>
        </w:rPr>
        <w:t>Администрации Отрадовского</w:t>
      </w:r>
      <w:r w:rsidR="00D44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предоставлению соответствующих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в силу нормативных правовых актов, указанных в подпункте 1 настоящего пункта, направляет по СЭД «Дело» </w:t>
      </w:r>
      <w:r w:rsidR="00D44965">
        <w:rPr>
          <w:rFonts w:ascii="Times New Roman" w:hAnsi="Times New Roman" w:cs="Times New Roman"/>
          <w:sz w:val="28"/>
          <w:szCs w:val="28"/>
        </w:rPr>
        <w:t>главному специалисту Администрации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заявление об исключении информации о муниципальной услуге из Реестра.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9. Актуализация сведений, содержащихся в Реестре, осуществляется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Администрации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не реже 1 раза в квартал.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10.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целях обеспечения формирования и ведения Реестра вправе запрашивать у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информацию о муниципальной услуге, подлежащей включению в Реестр, которую </w:t>
      </w:r>
      <w:r w:rsidR="00D4496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>обязан предоставить в течение 5 рабочих дней со дня получения запроса.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11.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актуализации и на основании информации, указанной в подпунктах 1-2 пункта 7 настоящего Порядка, осуществляет в установленном порядке подготовку проекта постановления Администрации Отрадовского района о внесении соответствующих изменений в Реестр.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>. Размещение и публикация сведений об услугах, указанных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подпунктах 1-3 пункта 2  настоящего Порядка,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DCDCD"/>
        </w:rPr>
      </w:pP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12. </w:t>
      </w:r>
      <w:proofErr w:type="gramStart"/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Формирование, направление на согласование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 для размещения,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размещение и публикация сведений об услугах, указанных в  подпунктах 1-3 пункта 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CD23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муниципальных услуг (функций)», утвержденными постановлением Правительства Российской Федерации от 24.10.2011 № 861.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13. Сведения об услугах, предусмотренных подпунктом 1 пункта  2  настоящего Порядка, формируются и направляются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по земельным и имущественным отношениям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CD23D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федеральном реестре в срок, предусмотренный подпунктом 1  пункта 7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15. В случае если по результатам проверки, указанной в пункте 14 настоящего Порядка, выявлены нарушения требований к полноте </w:t>
      </w:r>
      <w:r w:rsidRPr="00ED490C">
        <w:rPr>
          <w:rFonts w:ascii="Times New Roman" w:hAnsi="Times New Roman" w:cs="Times New Roman"/>
          <w:sz w:val="28"/>
          <w:szCs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срок, указанный</w:t>
      </w:r>
      <w:r w:rsidRPr="00ED490C">
        <w:rPr>
          <w:rFonts w:ascii="Times New Roman" w:hAnsi="Times New Roman" w:cs="Times New Roman"/>
          <w:sz w:val="28"/>
          <w:szCs w:val="28"/>
        </w:rPr>
        <w:br/>
        <w:t>в пункте 14 настоящего Порядка, отказывает в их согласовании.</w:t>
      </w:r>
    </w:p>
    <w:p w:rsidR="00ED490C" w:rsidRPr="00ED490C" w:rsidRDefault="00CD23D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, предоставляющий</w:t>
      </w:r>
      <w:r w:rsidR="00ED490C" w:rsidRPr="00ED490C">
        <w:rPr>
          <w:rFonts w:ascii="Times New Roman" w:hAnsi="Times New Roman" w:cs="Times New Roman"/>
          <w:sz w:val="28"/>
          <w:szCs w:val="28"/>
        </w:rPr>
        <w:t xml:space="preserve"> услуги, осуществляют учет замечаний и направляют сведения об услугах на повторное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Отрадовского сельского поселения </w:t>
      </w:r>
      <w:r w:rsidR="00ED490C" w:rsidRPr="00ED490C">
        <w:rPr>
          <w:rFonts w:ascii="Times New Roman" w:hAnsi="Times New Roman" w:cs="Times New Roman"/>
          <w:sz w:val="28"/>
          <w:szCs w:val="28"/>
        </w:rPr>
        <w:t>в течение 3 рабочих дней со дня отказа в согласовании.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16. Сведения об услугах публикуются в федеральном реестре в течение одного рабочего дня со дня согласования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17</w:t>
      </w:r>
      <w:bookmarkStart w:id="1" w:name="_GoBack"/>
      <w:bookmarkEnd w:id="1"/>
      <w:r w:rsidRPr="00ED490C">
        <w:rPr>
          <w:rFonts w:ascii="Times New Roman" w:hAnsi="Times New Roman" w:cs="Times New Roman"/>
          <w:sz w:val="28"/>
          <w:szCs w:val="28"/>
        </w:rPr>
        <w:t xml:space="preserve">. Внесение изменений в сведения об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услугах, </w:t>
      </w:r>
      <w:r w:rsidRPr="00ED490C">
        <w:rPr>
          <w:rFonts w:ascii="Times New Roman" w:hAnsi="Times New Roman" w:cs="Times New Roman"/>
          <w:sz w:val="28"/>
          <w:szCs w:val="28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CD151E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Администрации </w:t>
      </w:r>
    </w:p>
    <w:p w:rsidR="00ED490C" w:rsidRPr="00ED490C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Отрадовского сельского поселения</w:t>
      </w:r>
      <w:r w:rsidR="00ED490C" w:rsidRPr="00ED490C">
        <w:rPr>
          <w:color w:val="auto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auto"/>
          <w:sz w:val="28"/>
          <w:szCs w:val="28"/>
        </w:rPr>
        <w:t>Г.В.Швыдкова</w:t>
      </w:r>
      <w:proofErr w:type="spellEnd"/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ED490C" w:rsidRPr="00ED490C" w:rsidRDefault="00ED490C" w:rsidP="00ED490C">
      <w:pPr>
        <w:ind w:left="6237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D490C" w:rsidRPr="00ED490C" w:rsidSect="00ED490C">
          <w:pgSz w:w="11909" w:h="16834"/>
          <w:pgMar w:top="1134" w:right="567" w:bottom="1134" w:left="1134" w:header="720" w:footer="720" w:gutter="0"/>
          <w:cols w:space="720"/>
        </w:sectPr>
      </w:pP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9040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к Порядку формирования и ведения реестра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услуг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151E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Сведения об услугах, </w:t>
      </w:r>
      <w:r w:rsidRPr="00ED490C">
        <w:rPr>
          <w:rFonts w:ascii="Times New Roman" w:hAnsi="Times New Roman" w:cs="Times New Roman"/>
          <w:sz w:val="28"/>
          <w:szCs w:val="28"/>
        </w:rPr>
        <w:br/>
        <w:t>подлежащих включению в реестр муниципальных услуг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I. ПЕРЕЧЕНЬ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муниципальных услуг, предоставляемых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CD151E" w:rsidRDefault="00ED490C" w:rsidP="00CD151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31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146"/>
        <w:gridCol w:w="2574"/>
        <w:gridCol w:w="2127"/>
        <w:gridCol w:w="2265"/>
        <w:gridCol w:w="1964"/>
        <w:gridCol w:w="1963"/>
        <w:gridCol w:w="2737"/>
      </w:tblGrid>
      <w:tr w:rsidR="00ED490C" w:rsidRPr="00ED490C" w:rsidTr="00CD151E">
        <w:trPr>
          <w:cantSplit/>
          <w:trHeight w:val="224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которымпредоставляется</w:t>
            </w:r>
            <w:proofErr w:type="spell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услуга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муниципальной услуги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(платная/ бесплатная)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0C" w:rsidRPr="00ED490C" w:rsidTr="00CD151E">
        <w:trPr>
          <w:cantSplit/>
          <w:trHeight w:val="315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90C" w:rsidRPr="00ED490C" w:rsidRDefault="00ED490C" w:rsidP="00CD15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ED490C">
        <w:rPr>
          <w:rFonts w:ascii="Times New Roman" w:hAnsi="Times New Roman" w:cs="Times New Roman"/>
          <w:sz w:val="28"/>
          <w:szCs w:val="28"/>
        </w:rPr>
        <w:t xml:space="preserve"> района, и предоставляются организациями, участвующими в предоставлении муниципальных услуг</w:t>
      </w: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601"/>
      </w:tblGrid>
      <w:tr w:rsidR="00ED490C" w:rsidRPr="00ED490C" w:rsidTr="00CD151E">
        <w:trPr>
          <w:cantSplit/>
          <w:trHeight w:val="1188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tabs>
                <w:tab w:val="left" w:pos="9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Pr="00ED490C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</w:t>
      </w:r>
      <w:r w:rsidRPr="00ED490C">
        <w:rPr>
          <w:rFonts w:ascii="Times New Roman" w:hAnsi="Times New Roman" w:cs="Times New Roman"/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14221"/>
      </w:tblGrid>
      <w:tr w:rsidR="00ED490C" w:rsidRPr="00ED490C" w:rsidTr="00CD151E">
        <w:trPr>
          <w:cantSplit/>
          <w:trHeight w:val="1184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608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Pr="00ED490C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490C">
        <w:rPr>
          <w:rFonts w:ascii="Times New Roman" w:hAnsi="Times New Roman" w:cs="Times New Roman"/>
          <w:sz w:val="28"/>
          <w:szCs w:val="28"/>
        </w:rPr>
        <w:t xml:space="preserve">. Перечень муниципальных услуг </w:t>
      </w: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», предоставление которых осуществляется </w:t>
      </w:r>
    </w:p>
    <w:p w:rsidR="00ED490C" w:rsidRPr="007515BD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 принципу «одного окна» в</w:t>
      </w:r>
      <w:r w:rsidR="00CD15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"</w:t>
        </w:r>
        <w:r w:rsidR="00E87876"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</w:t>
        </w:r>
      </w:hyperlink>
      <w:r w:rsidRPr="000904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15BD">
        <w:rPr>
          <w:rFonts w:ascii="Times New Roman" w:hAnsi="Times New Roman" w:cs="Times New Roman"/>
          <w:sz w:val="28"/>
          <w:szCs w:val="28"/>
        </w:rPr>
        <w:t>.</w:t>
      </w:r>
    </w:p>
    <w:p w:rsidR="00ED490C" w:rsidRPr="007515BD" w:rsidRDefault="00ED490C" w:rsidP="00ED490C">
      <w:pPr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4759"/>
      </w:tblGrid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Pr="00ED490C" w:rsidRDefault="00ED490C" w:rsidP="00ED490C">
      <w:pPr>
        <w:pStyle w:val="a8"/>
        <w:ind w:left="0"/>
        <w:jc w:val="both"/>
        <w:rPr>
          <w:color w:val="auto"/>
          <w:sz w:val="28"/>
          <w:szCs w:val="28"/>
        </w:rPr>
      </w:pPr>
    </w:p>
    <w:p w:rsidR="00ED490C" w:rsidRP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5B7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Default="007515BD" w:rsidP="007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Отрадовского </w:t>
      </w:r>
    </w:p>
    <w:p w:rsidR="007515BD" w:rsidRPr="007515BD" w:rsidRDefault="0009040D" w:rsidP="007515BD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5B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515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5BD">
        <w:rPr>
          <w:rFonts w:ascii="Times New Roman" w:hAnsi="Times New Roman" w:cs="Times New Roman"/>
          <w:sz w:val="28"/>
          <w:szCs w:val="28"/>
        </w:rPr>
        <w:t>Г.В.Швыдкова</w:t>
      </w:r>
      <w:proofErr w:type="spellEnd"/>
    </w:p>
    <w:sectPr w:rsidR="007515BD" w:rsidRPr="007515BD" w:rsidSect="00CD151E">
      <w:pgSz w:w="16838" w:h="11906" w:orient="landscape"/>
      <w:pgMar w:top="567" w:right="142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1">
    <w:nsid w:val="3C007D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2">
    <w:nsid w:val="4A491101"/>
    <w:multiLevelType w:val="hybridMultilevel"/>
    <w:tmpl w:val="ECEE1DDE"/>
    <w:lvl w:ilvl="0" w:tplc="8FD2EA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D3A29"/>
    <w:multiLevelType w:val="hybridMultilevel"/>
    <w:tmpl w:val="67D49092"/>
    <w:lvl w:ilvl="0" w:tplc="8FD2E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F2B19"/>
    <w:rsid w:val="000025F3"/>
    <w:rsid w:val="00015EFE"/>
    <w:rsid w:val="0001603D"/>
    <w:rsid w:val="00046568"/>
    <w:rsid w:val="00056A37"/>
    <w:rsid w:val="0009040D"/>
    <w:rsid w:val="00094CD9"/>
    <w:rsid w:val="000A543A"/>
    <w:rsid w:val="000A63D6"/>
    <w:rsid w:val="00100025"/>
    <w:rsid w:val="0010447E"/>
    <w:rsid w:val="001176E2"/>
    <w:rsid w:val="001200D9"/>
    <w:rsid w:val="00135F28"/>
    <w:rsid w:val="001A2310"/>
    <w:rsid w:val="0020067F"/>
    <w:rsid w:val="002046D8"/>
    <w:rsid w:val="00247002"/>
    <w:rsid w:val="002B61FC"/>
    <w:rsid w:val="002B72C4"/>
    <w:rsid w:val="002E701A"/>
    <w:rsid w:val="003311A7"/>
    <w:rsid w:val="0034311D"/>
    <w:rsid w:val="003634BE"/>
    <w:rsid w:val="003732CA"/>
    <w:rsid w:val="0038542B"/>
    <w:rsid w:val="0038546D"/>
    <w:rsid w:val="003A79B0"/>
    <w:rsid w:val="003B10EA"/>
    <w:rsid w:val="003C2A76"/>
    <w:rsid w:val="00423CED"/>
    <w:rsid w:val="00475CA2"/>
    <w:rsid w:val="00484C00"/>
    <w:rsid w:val="00486461"/>
    <w:rsid w:val="00487718"/>
    <w:rsid w:val="00491724"/>
    <w:rsid w:val="00494051"/>
    <w:rsid w:val="004D034D"/>
    <w:rsid w:val="004D30BC"/>
    <w:rsid w:val="004D420F"/>
    <w:rsid w:val="004E032D"/>
    <w:rsid w:val="004E0BC7"/>
    <w:rsid w:val="00505A02"/>
    <w:rsid w:val="005119F7"/>
    <w:rsid w:val="00522811"/>
    <w:rsid w:val="00527C83"/>
    <w:rsid w:val="00543E4F"/>
    <w:rsid w:val="005620BD"/>
    <w:rsid w:val="00571748"/>
    <w:rsid w:val="00584D31"/>
    <w:rsid w:val="00585750"/>
    <w:rsid w:val="005A3DB0"/>
    <w:rsid w:val="005B7A13"/>
    <w:rsid w:val="0060440A"/>
    <w:rsid w:val="00626ECB"/>
    <w:rsid w:val="006432B5"/>
    <w:rsid w:val="00661574"/>
    <w:rsid w:val="006810AA"/>
    <w:rsid w:val="006E2234"/>
    <w:rsid w:val="007515BD"/>
    <w:rsid w:val="00773163"/>
    <w:rsid w:val="007D139C"/>
    <w:rsid w:val="007D34F6"/>
    <w:rsid w:val="008216F0"/>
    <w:rsid w:val="0083026E"/>
    <w:rsid w:val="00843E34"/>
    <w:rsid w:val="0085133B"/>
    <w:rsid w:val="008D3BA8"/>
    <w:rsid w:val="008F2B19"/>
    <w:rsid w:val="00930876"/>
    <w:rsid w:val="00974646"/>
    <w:rsid w:val="009A364C"/>
    <w:rsid w:val="009B6AB0"/>
    <w:rsid w:val="009C431F"/>
    <w:rsid w:val="00A1154C"/>
    <w:rsid w:val="00A248AC"/>
    <w:rsid w:val="00AC1280"/>
    <w:rsid w:val="00AC59DE"/>
    <w:rsid w:val="00AD0676"/>
    <w:rsid w:val="00AD78E8"/>
    <w:rsid w:val="00B9131B"/>
    <w:rsid w:val="00BA1765"/>
    <w:rsid w:val="00BB7704"/>
    <w:rsid w:val="00BC4DAE"/>
    <w:rsid w:val="00BC5048"/>
    <w:rsid w:val="00BE7FF5"/>
    <w:rsid w:val="00BF1920"/>
    <w:rsid w:val="00C04D48"/>
    <w:rsid w:val="00C318AF"/>
    <w:rsid w:val="00C626DC"/>
    <w:rsid w:val="00CA70B4"/>
    <w:rsid w:val="00CC54D4"/>
    <w:rsid w:val="00CD151E"/>
    <w:rsid w:val="00CD23DC"/>
    <w:rsid w:val="00CE5A91"/>
    <w:rsid w:val="00D02074"/>
    <w:rsid w:val="00D05D7A"/>
    <w:rsid w:val="00D06025"/>
    <w:rsid w:val="00D1569A"/>
    <w:rsid w:val="00D44965"/>
    <w:rsid w:val="00D636D9"/>
    <w:rsid w:val="00D72417"/>
    <w:rsid w:val="00D73F6F"/>
    <w:rsid w:val="00D9318F"/>
    <w:rsid w:val="00DA7E2E"/>
    <w:rsid w:val="00DB216D"/>
    <w:rsid w:val="00DF3821"/>
    <w:rsid w:val="00DF65CA"/>
    <w:rsid w:val="00E21B0A"/>
    <w:rsid w:val="00E25C21"/>
    <w:rsid w:val="00E50407"/>
    <w:rsid w:val="00E5646B"/>
    <w:rsid w:val="00E7127C"/>
    <w:rsid w:val="00E829DE"/>
    <w:rsid w:val="00E84F8A"/>
    <w:rsid w:val="00E87876"/>
    <w:rsid w:val="00EC79FD"/>
    <w:rsid w:val="00ED08F9"/>
    <w:rsid w:val="00ED490C"/>
    <w:rsid w:val="00ED4FD0"/>
    <w:rsid w:val="00EF0C2B"/>
    <w:rsid w:val="00EF6674"/>
    <w:rsid w:val="00F15B8E"/>
    <w:rsid w:val="00F47BA8"/>
    <w:rsid w:val="00F525C7"/>
    <w:rsid w:val="00F66A6C"/>
    <w:rsid w:val="00F94A09"/>
    <w:rsid w:val="00FB00D2"/>
    <w:rsid w:val="00FE32E7"/>
    <w:rsid w:val="00FE37A8"/>
    <w:rsid w:val="00FF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5">
    <w:name w:val="Table Normal25"/>
    <w:uiPriority w:val="99"/>
    <w:semiHidden/>
    <w:rsid w:val="00E5040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F4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BA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22811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484C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84C00"/>
    <w:rPr>
      <w:rFonts w:ascii="Arial" w:hAnsi="Arial" w:cs="Arial"/>
      <w:sz w:val="20"/>
      <w:szCs w:val="20"/>
      <w:lang w:eastAsia="en-US"/>
    </w:rPr>
  </w:style>
  <w:style w:type="character" w:customStyle="1" w:styleId="fontstyle01">
    <w:name w:val="fontstyle01"/>
    <w:basedOn w:val="a0"/>
    <w:rsid w:val="00D020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F1920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5">
    <w:name w:val="Title"/>
    <w:basedOn w:val="a"/>
    <w:link w:val="a6"/>
    <w:qFormat/>
    <w:locked/>
    <w:rsid w:val="003732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732CA"/>
    <w:rPr>
      <w:rFonts w:ascii="Times New Roman" w:eastAsia="Times New Roman" w:hAnsi="Times New Roman"/>
      <w:b/>
      <w:sz w:val="32"/>
      <w:szCs w:val="20"/>
    </w:rPr>
  </w:style>
  <w:style w:type="character" w:styleId="a7">
    <w:name w:val="Hyperlink"/>
    <w:basedOn w:val="a0"/>
    <w:uiPriority w:val="99"/>
    <w:unhideWhenUsed/>
    <w:rsid w:val="00ED490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D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09040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9040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44AA-8303-49CC-B043-E657427C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Zubova</dc:creator>
  <cp:keywords/>
  <dc:description/>
  <cp:lastModifiedBy>USER</cp:lastModifiedBy>
  <cp:revision>15</cp:revision>
  <cp:lastPrinted>2024-10-24T08:48:00Z</cp:lastPrinted>
  <dcterms:created xsi:type="dcterms:W3CDTF">2024-07-24T05:43:00Z</dcterms:created>
  <dcterms:modified xsi:type="dcterms:W3CDTF">2024-10-28T08:48:00Z</dcterms:modified>
</cp:coreProperties>
</file>