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6A" w:rsidRDefault="0051576A" w:rsidP="0051576A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48"/>
          <w:szCs w:val="48"/>
        </w:rPr>
        <w:t>Программа стимулирования кредитования субъектов малого и среднего предпринимательства «Программа 6,5», реализуемая АО «Корпорация «МСП»</w:t>
      </w:r>
    </w:p>
    <w:p w:rsidR="0051576A" w:rsidRDefault="0051576A" w:rsidP="0051576A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51576A" w:rsidRDefault="0051576A" w:rsidP="0051576A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настоящее время</w:t>
      </w:r>
      <w:r>
        <w:rPr>
          <w:rStyle w:val="a4"/>
          <w:color w:val="000000"/>
          <w:sz w:val="27"/>
          <w:szCs w:val="27"/>
        </w:rPr>
        <w:t> АО «Корпорация «МСП»</w:t>
      </w:r>
      <w:r>
        <w:rPr>
          <w:color w:val="000000"/>
          <w:sz w:val="27"/>
          <w:szCs w:val="27"/>
        </w:rPr>
        <w:t> реализует мероприятия по подбору проектов для кредитования их в рамках </w:t>
      </w:r>
      <w:hyperlink r:id="rId5" w:history="1">
        <w:r>
          <w:rPr>
            <w:rStyle w:val="a5"/>
            <w:rFonts w:ascii="Arial" w:hAnsi="Arial" w:cs="Arial"/>
            <w:color w:val="223322"/>
            <w:sz w:val="18"/>
            <w:szCs w:val="18"/>
          </w:rPr>
          <w:t>Программы стимулирования кредитования субъектов малого и среднего предпринимательства «Программа 6,5»</w:t>
        </w:r>
      </w:hyperlink>
      <w:r>
        <w:rPr>
          <w:color w:val="000000"/>
          <w:sz w:val="27"/>
          <w:szCs w:val="27"/>
        </w:rPr>
        <w:t> (далее – Программа).</w:t>
      </w:r>
    </w:p>
    <w:p w:rsidR="0051576A" w:rsidRDefault="0051576A" w:rsidP="0051576A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Одной из важнейших задач Корпорации МСП является обеспечение субъектов малого и среднего предпринимательства (МСП) доступными кредитными ресурсами.</w:t>
      </w:r>
    </w:p>
    <w:p w:rsidR="0051576A" w:rsidRDefault="0051576A" w:rsidP="0051576A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Совместно с Минэкономразвития России и Банком России Корпорация разработала Программу, стимулирования кредитования субъектов МСП, реализующих проекты в приоритетных отраслях, которая фиксирует процентную ставку по кредитам в сумме не менее 10 </w:t>
      </w:r>
      <w:proofErr w:type="gramStart"/>
      <w:r>
        <w:rPr>
          <w:color w:val="000000"/>
          <w:sz w:val="27"/>
          <w:szCs w:val="27"/>
        </w:rPr>
        <w:t>млн</w:t>
      </w:r>
      <w:proofErr w:type="gramEnd"/>
      <w:r>
        <w:rPr>
          <w:color w:val="000000"/>
          <w:sz w:val="27"/>
          <w:szCs w:val="27"/>
        </w:rPr>
        <w:t xml:space="preserve"> руб. для субъектов малого бизнеса на уровне </w:t>
      </w:r>
      <w:r>
        <w:rPr>
          <w:rStyle w:val="a4"/>
          <w:color w:val="000000"/>
          <w:sz w:val="27"/>
          <w:szCs w:val="27"/>
        </w:rPr>
        <w:t>10,6% годовых,</w:t>
      </w:r>
      <w:r>
        <w:rPr>
          <w:color w:val="000000"/>
          <w:sz w:val="27"/>
          <w:szCs w:val="27"/>
        </w:rPr>
        <w:t> для среднего -</w:t>
      </w:r>
      <w:r>
        <w:rPr>
          <w:rStyle w:val="a4"/>
          <w:color w:val="000000"/>
          <w:sz w:val="27"/>
          <w:szCs w:val="27"/>
        </w:rPr>
        <w:t>9,6% годовых</w:t>
      </w:r>
      <w:r>
        <w:rPr>
          <w:color w:val="000000"/>
          <w:sz w:val="27"/>
          <w:szCs w:val="27"/>
        </w:rPr>
        <w:t>.</w:t>
      </w:r>
    </w:p>
    <w:p w:rsidR="0051576A" w:rsidRDefault="0051576A" w:rsidP="0051576A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Кредитные организации, предоставляющие финансирование предпринимателям по Программе, получают возможность рефинансирования в Банке России </w:t>
      </w:r>
      <w:r>
        <w:rPr>
          <w:rStyle w:val="a4"/>
          <w:color w:val="000000"/>
          <w:sz w:val="27"/>
          <w:szCs w:val="27"/>
        </w:rPr>
        <w:t>по ставке 6,5% годовых</w:t>
      </w:r>
      <w:r>
        <w:rPr>
          <w:color w:val="000000"/>
          <w:sz w:val="27"/>
          <w:szCs w:val="27"/>
        </w:rPr>
        <w:t>, поэтому Программа получила второе название </w:t>
      </w:r>
      <w:r>
        <w:rPr>
          <w:rStyle w:val="a4"/>
          <w:color w:val="000000"/>
          <w:sz w:val="27"/>
          <w:szCs w:val="27"/>
        </w:rPr>
        <w:t>«Шесть с половиной».</w:t>
      </w:r>
    </w:p>
    <w:p w:rsidR="0051576A" w:rsidRDefault="0051576A" w:rsidP="0051576A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программе участвуют следующие уполномоченные банки: </w:t>
      </w:r>
    </w:p>
    <w:p w:rsidR="0051576A" w:rsidRDefault="0051576A" w:rsidP="0051576A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АО «Альфа-Банк»;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 Банк ВТБ (ПАО);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3. ПАО Банк ЗЕНИТ;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4. АО «Банк </w:t>
      </w:r>
      <w:proofErr w:type="spellStart"/>
      <w:r>
        <w:rPr>
          <w:color w:val="000000"/>
          <w:sz w:val="27"/>
          <w:szCs w:val="27"/>
        </w:rPr>
        <w:t>Интеза</w:t>
      </w:r>
      <w:proofErr w:type="spellEnd"/>
      <w:r>
        <w:rPr>
          <w:color w:val="000000"/>
          <w:sz w:val="27"/>
          <w:szCs w:val="27"/>
        </w:rPr>
        <w:t>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5. ПАО «Банк «Санкт-Петербург»;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6. Банк «Возрождение» (ПАО);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7. ВТБ 24 (ПАО);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8. Банк ГПБ (АО);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9. ПАО «Запсибкомбанк»;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10. КБ «Кубань Кредит»;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11. ПАО «НБД-Банк»;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12. РНКБ (ПАО);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13. АО «</w:t>
      </w:r>
      <w:proofErr w:type="spellStart"/>
      <w:r>
        <w:rPr>
          <w:color w:val="000000"/>
          <w:sz w:val="27"/>
          <w:szCs w:val="27"/>
        </w:rPr>
        <w:t>Россельхозбанк</w:t>
      </w:r>
      <w:proofErr w:type="spellEnd"/>
      <w:r>
        <w:rPr>
          <w:color w:val="000000"/>
          <w:sz w:val="27"/>
          <w:szCs w:val="27"/>
        </w:rPr>
        <w:t>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14. ТКБ БАНК ПАО;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15. АО «</w:t>
      </w:r>
      <w:proofErr w:type="spellStart"/>
      <w:r>
        <w:rPr>
          <w:color w:val="000000"/>
          <w:sz w:val="27"/>
          <w:szCs w:val="27"/>
        </w:rPr>
        <w:t>ЮниКредит</w:t>
      </w:r>
      <w:proofErr w:type="spellEnd"/>
      <w:r>
        <w:rPr>
          <w:color w:val="000000"/>
          <w:sz w:val="27"/>
          <w:szCs w:val="27"/>
        </w:rPr>
        <w:t xml:space="preserve"> 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16. ПАО «СКБ-банк»;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17. Банк «Левобережный» (ПАО);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18. «СИБСОЦБАНК» ООО;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19. ПАО Банк «Кузнецкий»;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20. ПАО Банк «ФК Открытие»;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21. ПАО Сбербанк;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22. ПАО «Промсвязьбанк»;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23. АКБ «</w:t>
      </w:r>
      <w:proofErr w:type="spellStart"/>
      <w:r>
        <w:rPr>
          <w:color w:val="000000"/>
          <w:sz w:val="27"/>
          <w:szCs w:val="27"/>
        </w:rPr>
        <w:t>Алмазэргиэнбанк</w:t>
      </w:r>
      <w:proofErr w:type="spellEnd"/>
      <w:r>
        <w:rPr>
          <w:color w:val="000000"/>
          <w:sz w:val="27"/>
          <w:szCs w:val="27"/>
        </w:rPr>
        <w:t>» АО;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24. АО «Райффайзенбанк»;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25. ПАО Росбанк;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26. АКБ «ЭНЕРГОБАНК» (ПАО);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27. ООО КБЭР «Банк Казани»;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28. ООО «</w:t>
      </w:r>
      <w:proofErr w:type="spellStart"/>
      <w:r>
        <w:rPr>
          <w:color w:val="000000"/>
          <w:sz w:val="27"/>
          <w:szCs w:val="27"/>
        </w:rPr>
        <w:t>Камкомбанк</w:t>
      </w:r>
      <w:proofErr w:type="spellEnd"/>
      <w:r>
        <w:rPr>
          <w:color w:val="000000"/>
          <w:sz w:val="27"/>
          <w:szCs w:val="27"/>
        </w:rPr>
        <w:t>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29. ПАО «НИКО-БАНК»;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30. ПАО АКБ «Урал ФД»;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31. АО «МСП Банк».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32. АО «ГЕНБАНК»;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33. ПАО «АК БАРС» БАНК;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34. АО "БАНК ОРЕНБУРГ";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35. ООО КБ «</w:t>
      </w:r>
      <w:proofErr w:type="spellStart"/>
      <w:r>
        <w:rPr>
          <w:color w:val="000000"/>
          <w:sz w:val="27"/>
          <w:szCs w:val="27"/>
        </w:rPr>
        <w:t>Алтайкапиталбанк</w:t>
      </w:r>
      <w:proofErr w:type="spellEnd"/>
      <w:r>
        <w:rPr>
          <w:color w:val="000000"/>
          <w:sz w:val="27"/>
          <w:szCs w:val="27"/>
        </w:rPr>
        <w:t>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36. ПАО </w:t>
      </w:r>
      <w:proofErr w:type="gramStart"/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>КБ Приморья «</w:t>
      </w:r>
      <w:proofErr w:type="spellStart"/>
      <w:r>
        <w:rPr>
          <w:color w:val="000000"/>
          <w:sz w:val="27"/>
          <w:szCs w:val="27"/>
        </w:rPr>
        <w:t>Примсоцбанк</w:t>
      </w:r>
      <w:proofErr w:type="spellEnd"/>
      <w:r>
        <w:rPr>
          <w:color w:val="000000"/>
          <w:sz w:val="27"/>
          <w:szCs w:val="27"/>
        </w:rPr>
        <w:t>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37. АКБ «</w:t>
      </w:r>
      <w:proofErr w:type="spellStart"/>
      <w:r>
        <w:rPr>
          <w:color w:val="000000"/>
          <w:sz w:val="27"/>
          <w:szCs w:val="27"/>
        </w:rPr>
        <w:t>РосЕвроБанк</w:t>
      </w:r>
      <w:proofErr w:type="spellEnd"/>
      <w:r>
        <w:rPr>
          <w:color w:val="000000"/>
          <w:sz w:val="27"/>
          <w:szCs w:val="27"/>
        </w:rPr>
        <w:t>» (АО);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38. ПАО «ВИТАБАНК»;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39. ПАО «БИНБАНК».</w:t>
      </w:r>
    </w:p>
    <w:p w:rsidR="0051576A" w:rsidRDefault="0051576A" w:rsidP="0051576A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576A" w:rsidRDefault="0051576A" w:rsidP="0051576A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Уполномоченные банки активно формируют реестры сделок, участниками которых являются субъекты МСП, реализующие проекты, соответствующие условиям и требования Программы.</w:t>
      </w:r>
    </w:p>
    <w:p w:rsidR="0051576A" w:rsidRDefault="0051576A" w:rsidP="0051576A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Подробная информация об уполномоченных банках, приоритетных отраслях, условиях и требованиях, порядке взаимодействия с уполномоченными банками размещена </w:t>
      </w:r>
      <w:hyperlink r:id="rId6" w:tgtFrame="_blank" w:history="1">
        <w:r>
          <w:rPr>
            <w:rStyle w:val="a5"/>
            <w:rFonts w:ascii="Arial" w:hAnsi="Arial" w:cs="Arial"/>
            <w:color w:val="223322"/>
            <w:sz w:val="18"/>
            <w:szCs w:val="18"/>
          </w:rPr>
          <w:t>на сайте Корпорации</w:t>
        </w:r>
      </w:hyperlink>
      <w:r>
        <w:rPr>
          <w:color w:val="000000"/>
          <w:sz w:val="27"/>
          <w:szCs w:val="27"/>
        </w:rPr>
        <w:t>  и кратко изложена </w:t>
      </w:r>
      <w:hyperlink r:id="rId7" w:tgtFrame="_blank" w:history="1">
        <w:r>
          <w:rPr>
            <w:rStyle w:val="a5"/>
            <w:rFonts w:ascii="Arial" w:hAnsi="Arial" w:cs="Arial"/>
            <w:color w:val="223322"/>
            <w:sz w:val="18"/>
            <w:szCs w:val="18"/>
          </w:rPr>
          <w:t>в презентации Программы</w:t>
        </w:r>
      </w:hyperlink>
      <w:r>
        <w:rPr>
          <w:color w:val="000000"/>
          <w:sz w:val="27"/>
          <w:szCs w:val="27"/>
        </w:rPr>
        <w:t>.</w:t>
      </w:r>
    </w:p>
    <w:p w:rsidR="0051576A" w:rsidRDefault="0051576A" w:rsidP="0051576A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hyperlink r:id="rId8" w:history="1">
        <w:r>
          <w:rPr>
            <w:rStyle w:val="a5"/>
            <w:rFonts w:ascii="Arial" w:hAnsi="Arial" w:cs="Arial"/>
            <w:color w:val="223322"/>
            <w:sz w:val="18"/>
            <w:szCs w:val="18"/>
          </w:rPr>
          <w:t>АО "</w:t>
        </w:r>
        <w:proofErr w:type="spellStart"/>
        <w:r>
          <w:rPr>
            <w:rStyle w:val="a5"/>
            <w:rFonts w:ascii="Arial" w:hAnsi="Arial" w:cs="Arial"/>
            <w:color w:val="223322"/>
            <w:sz w:val="18"/>
            <w:szCs w:val="18"/>
          </w:rPr>
          <w:t>Копарация</w:t>
        </w:r>
        <w:proofErr w:type="spellEnd"/>
        <w:r>
          <w:rPr>
            <w:rStyle w:val="a5"/>
            <w:rFonts w:ascii="Arial" w:hAnsi="Arial" w:cs="Arial"/>
            <w:color w:val="223322"/>
            <w:sz w:val="18"/>
            <w:szCs w:val="18"/>
          </w:rPr>
          <w:t xml:space="preserve"> "МСП</w:t>
        </w:r>
      </w:hyperlink>
      <w:r>
        <w:rPr>
          <w:color w:val="000000"/>
          <w:sz w:val="27"/>
          <w:szCs w:val="27"/>
        </w:rPr>
        <w:t>" осуществляет поддержку бизнес навигатора МСП.</w:t>
      </w:r>
    </w:p>
    <w:p w:rsidR="00CE0E16" w:rsidRDefault="00CE0E16">
      <w:bookmarkStart w:id="0" w:name="_GoBack"/>
      <w:bookmarkEnd w:id="0"/>
    </w:p>
    <w:sectPr w:rsidR="00CE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6A"/>
    <w:rsid w:val="0051576A"/>
    <w:rsid w:val="00C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76A"/>
    <w:rPr>
      <w:b/>
      <w:bCs/>
    </w:rPr>
  </w:style>
  <w:style w:type="character" w:styleId="a5">
    <w:name w:val="Hyperlink"/>
    <w:basedOn w:val="a0"/>
    <w:uiPriority w:val="99"/>
    <w:semiHidden/>
    <w:unhideWhenUsed/>
    <w:rsid w:val="005157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76A"/>
    <w:rPr>
      <w:b/>
      <w:bCs/>
    </w:rPr>
  </w:style>
  <w:style w:type="character" w:styleId="a5">
    <w:name w:val="Hyperlink"/>
    <w:basedOn w:val="a0"/>
    <w:uiPriority w:val="99"/>
    <w:semiHidden/>
    <w:unhideWhenUsed/>
    <w:rsid w:val="00515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bn.ru/msp/mai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rpmsp.ru/upload/upload/prezentatia-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rpmsp.ru/bankam/programma_stimulir/" TargetMode="External"/><Relationship Id="rId5" Type="http://schemas.openxmlformats.org/officeDocument/2006/relationships/hyperlink" Target="http://mbdon.ru/informatsionnyy-razdel/v-nastoyashchee-vremya-ao-korporatsiya-msp-realizuet-meropriyatiya-po-podboru-proektov-dlya-kreditovaniya-ikh-v-ramkakh-programmy-stimulirovaniya-kreditovaniya-subektov-malogo-i-srednego-predprinimatelstva-programma-6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2018-05-24T12:40:00Z</dcterms:created>
  <dcterms:modified xsi:type="dcterms:W3CDTF">2018-05-24T12:40:00Z</dcterms:modified>
</cp:coreProperties>
</file>